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83AA2DA" w14:textId="1E7B1370" w:rsidR="008F64AC" w:rsidRPr="00636029" w:rsidRDefault="007B0C7F" w:rsidP="00CD4E98">
      <w:pPr>
        <w:spacing w:line="180" w:lineRule="auto"/>
        <w:rPr>
          <w:rFonts w:ascii="Segoe Print" w:hAnsi="Segoe Print"/>
          <w:b/>
          <w:bCs/>
          <w:iCs/>
          <w:color w:val="000000" w:themeColor="text1"/>
          <w:sz w:val="72"/>
          <w:szCs w:val="56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636029">
        <w:rPr>
          <w:rFonts w:ascii="Segoe Print" w:hAnsi="Segoe Print"/>
          <w:b/>
          <w:bCs/>
          <w:iCs/>
          <w:color w:val="000000" w:themeColor="text1"/>
          <w:sz w:val="72"/>
          <w:szCs w:val="56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Quelques</w:t>
      </w:r>
      <w:r w:rsidRPr="00636029">
        <w:rPr>
          <w:rFonts w:ascii="Segoe Print" w:hAnsi="Segoe Print"/>
          <w:b/>
          <w:bCs/>
          <w:iCs/>
          <w:color w:val="000000" w:themeColor="text1"/>
          <w:sz w:val="72"/>
          <w:szCs w:val="56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br/>
      </w:r>
      <w:r w:rsidR="00092009" w:rsidRPr="00636029">
        <w:rPr>
          <w:rFonts w:ascii="Segoe Print" w:hAnsi="Segoe Print"/>
          <w:b/>
          <w:bCs/>
          <w:iCs/>
          <w:color w:val="000000" w:themeColor="text1"/>
          <w:sz w:val="72"/>
          <w:szCs w:val="56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pi</w:t>
      </w:r>
      <w:r w:rsidR="00092009" w:rsidRPr="00636029">
        <w:rPr>
          <w:rFonts w:ascii="Segoe Print" w:hAnsi="Segoe Print" w:cs="Cambria"/>
          <w:b/>
          <w:bCs/>
          <w:iCs/>
          <w:color w:val="000000" w:themeColor="text1"/>
          <w:sz w:val="72"/>
          <w:szCs w:val="56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è</w:t>
      </w:r>
      <w:r w:rsidR="00092009" w:rsidRPr="00636029">
        <w:rPr>
          <w:rFonts w:ascii="Segoe Print" w:hAnsi="Segoe Print"/>
          <w:b/>
          <w:bCs/>
          <w:iCs/>
          <w:color w:val="000000" w:themeColor="text1"/>
          <w:sz w:val="72"/>
          <w:szCs w:val="56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ces</w:t>
      </w:r>
      <w:r w:rsidR="00B95079" w:rsidRPr="00636029">
        <w:rPr>
          <w:rFonts w:ascii="Segoe Print" w:hAnsi="Segoe Print"/>
          <w:b/>
          <w:bCs/>
          <w:iCs/>
          <w:color w:val="000000" w:themeColor="text1"/>
          <w:sz w:val="72"/>
          <w:szCs w:val="56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comptable</w:t>
      </w:r>
      <w:r w:rsidR="003F406E" w:rsidRPr="00636029">
        <w:rPr>
          <w:rFonts w:ascii="Segoe Print" w:hAnsi="Segoe Print"/>
          <w:b/>
          <w:bCs/>
          <w:iCs/>
          <w:color w:val="000000" w:themeColor="text1"/>
          <w:sz w:val="72"/>
          <w:szCs w:val="56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s</w:t>
      </w:r>
    </w:p>
    <w:p w14:paraId="5161D93A" w14:textId="0B4C16A6" w:rsidR="00B95079" w:rsidRDefault="00B95079">
      <w:pPr>
        <w:rPr>
          <w:rFonts w:ascii="Merriweather" w:hAnsi="Merriweather"/>
        </w:rPr>
      </w:pPr>
    </w:p>
    <w:p w14:paraId="12C46C78" w14:textId="6FAA44F6" w:rsidR="00636029" w:rsidRDefault="00636029">
      <w:pPr>
        <w:rPr>
          <w:rFonts w:ascii="Merriweather" w:hAnsi="Merriweather"/>
        </w:rPr>
      </w:pPr>
    </w:p>
    <w:p w14:paraId="4030C62F" w14:textId="2A2FDEE7" w:rsidR="002F1DA2" w:rsidRPr="00033975" w:rsidRDefault="002F1DA2" w:rsidP="00033975">
      <w:pPr>
        <w:tabs>
          <w:tab w:val="left" w:pos="3828"/>
        </w:tabs>
        <w:jc w:val="both"/>
        <w:rPr>
          <w:rFonts w:ascii="Merriweather" w:hAnsi="Merriweather"/>
        </w:rPr>
      </w:pPr>
    </w:p>
    <w:p w14:paraId="3AD887D8" w14:textId="7B486B5E" w:rsidR="00A0107C" w:rsidRPr="00033975" w:rsidRDefault="00A0107C" w:rsidP="00033975">
      <w:pPr>
        <w:tabs>
          <w:tab w:val="left" w:pos="3828"/>
        </w:tabs>
        <w:ind w:left="6521" w:hanging="6521"/>
        <w:jc w:val="both"/>
        <w:rPr>
          <w:rFonts w:ascii="Merriweather" w:hAnsi="Merriweather"/>
        </w:rPr>
      </w:pPr>
      <w:r w:rsidRPr="00033975">
        <w:rPr>
          <w:rFonts w:ascii="Merriweather Black" w:hAnsi="Merriweather Black"/>
        </w:rPr>
        <w:t>Bon de commande</w:t>
      </w:r>
      <w:r w:rsidRPr="00033975">
        <w:rPr>
          <w:rFonts w:ascii="Merriweather" w:hAnsi="Merriweather"/>
          <w:sz w:val="22"/>
          <w:szCs w:val="20"/>
        </w:rPr>
        <w:tab/>
      </w:r>
      <w:r w:rsidR="004725E8" w:rsidRPr="00AA6709">
        <w:rPr>
          <w:rFonts w:ascii="Merriweather Black" w:hAnsi="Merriweather Black"/>
          <w:i/>
          <w:iCs/>
          <w:lang w:val="en-CA"/>
        </w:rPr>
        <w:t>P</w:t>
      </w:r>
      <w:r w:rsidRPr="00AA6709">
        <w:rPr>
          <w:rFonts w:ascii="Merriweather Black" w:hAnsi="Merriweather Black"/>
          <w:i/>
          <w:iCs/>
          <w:lang w:val="en-CA"/>
        </w:rPr>
        <w:t>urchase order</w:t>
      </w:r>
      <w:r w:rsidRPr="00033975">
        <w:rPr>
          <w:rFonts w:ascii="Merriweather" w:hAnsi="Merriweather"/>
        </w:rPr>
        <w:tab/>
      </w:r>
      <w:r w:rsidR="00F1208D">
        <w:rPr>
          <w:rFonts w:ascii="Merriweather" w:hAnsi="Merriweather"/>
        </w:rPr>
        <w:t>Le bon de commande est un d</w:t>
      </w:r>
      <w:r w:rsidR="00F1208D" w:rsidRPr="00E03120">
        <w:rPr>
          <w:rFonts w:ascii="Merriweather" w:hAnsi="Merriweather"/>
        </w:rPr>
        <w:t xml:space="preserve">ocument </w:t>
      </w:r>
      <w:r w:rsidR="00ED0161" w:rsidRPr="00033975">
        <w:rPr>
          <w:rFonts w:ascii="Merriweather" w:hAnsi="Merriweather"/>
        </w:rPr>
        <w:t>établi par le client dans lequel il détaille les articles commandés et toutes les conditions utiles à la bonne exécution de la commande.</w:t>
      </w:r>
    </w:p>
    <w:p w14:paraId="6EE607A8" w14:textId="09C0A79A" w:rsidR="00654BCF" w:rsidRPr="00033975" w:rsidRDefault="00654BCF" w:rsidP="00033975">
      <w:pPr>
        <w:tabs>
          <w:tab w:val="left" w:pos="3828"/>
        </w:tabs>
        <w:jc w:val="both"/>
        <w:rPr>
          <w:rFonts w:ascii="Merriweather" w:hAnsi="Merriweather"/>
        </w:rPr>
      </w:pPr>
    </w:p>
    <w:p w14:paraId="38846C8F" w14:textId="244BE7F1" w:rsidR="0016270D" w:rsidRPr="00033975" w:rsidRDefault="0016270D" w:rsidP="00033975">
      <w:pPr>
        <w:tabs>
          <w:tab w:val="left" w:pos="3828"/>
        </w:tabs>
        <w:ind w:left="6521" w:hanging="6521"/>
        <w:jc w:val="both"/>
        <w:rPr>
          <w:rFonts w:ascii="Merriweather" w:hAnsi="Merriweather"/>
          <w:i/>
          <w:iCs/>
        </w:rPr>
      </w:pPr>
      <w:r w:rsidRPr="00033975">
        <w:rPr>
          <w:rFonts w:ascii="Merriweather Black" w:hAnsi="Merriweather Black"/>
        </w:rPr>
        <w:t>Bordereau de livraison</w:t>
      </w:r>
      <w:r w:rsidRPr="00033975">
        <w:rPr>
          <w:rFonts w:ascii="Merriweather" w:hAnsi="Merriweather"/>
          <w:i/>
          <w:iCs/>
          <w:sz w:val="22"/>
          <w:szCs w:val="20"/>
        </w:rPr>
        <w:tab/>
      </w:r>
      <w:r w:rsidRPr="00AA6709">
        <w:rPr>
          <w:rFonts w:ascii="Merriweather Black" w:hAnsi="Merriweather Black"/>
          <w:i/>
          <w:iCs/>
          <w:lang w:val="en-CA"/>
        </w:rPr>
        <w:t>Delivery note</w:t>
      </w:r>
      <w:r w:rsidRPr="00033975">
        <w:rPr>
          <w:rFonts w:ascii="Merriweather" w:hAnsi="Merriweather"/>
          <w:i/>
          <w:iCs/>
          <w:sz w:val="22"/>
          <w:szCs w:val="20"/>
        </w:rPr>
        <w:t xml:space="preserve"> </w:t>
      </w:r>
      <w:r w:rsidR="00310B06" w:rsidRPr="00033975">
        <w:rPr>
          <w:rFonts w:ascii="Merriweather" w:hAnsi="Merriweather"/>
          <w:i/>
          <w:iCs/>
        </w:rPr>
        <w:tab/>
      </w:r>
      <w:r w:rsidRPr="00033975">
        <w:rPr>
          <w:rFonts w:ascii="Merriweather" w:hAnsi="Merriweather"/>
        </w:rPr>
        <w:t xml:space="preserve">Le bordereau de livraison est un document fourni par un fournisseur transporteur </w:t>
      </w:r>
      <w:r w:rsidRPr="00033975">
        <w:rPr>
          <w:rFonts w:ascii="Merriweather" w:hAnsi="Merriweather"/>
          <w:i/>
          <w:iCs/>
        </w:rPr>
        <w:t xml:space="preserve">qui atteste </w:t>
      </w:r>
      <w:r w:rsidR="00F1208D">
        <w:rPr>
          <w:rFonts w:ascii="Merriweather" w:hAnsi="Merriweather"/>
          <w:i/>
          <w:iCs/>
        </w:rPr>
        <w:t>[de la livraison des marchandises]</w:t>
      </w:r>
      <w:r w:rsidRPr="00033975">
        <w:rPr>
          <w:rFonts w:ascii="Merriweather" w:hAnsi="Merriweather"/>
          <w:i/>
          <w:iCs/>
        </w:rPr>
        <w:t>. Il est établi en deux exemplaires.</w:t>
      </w:r>
    </w:p>
    <w:p w14:paraId="1CAD3DC5" w14:textId="430EE283" w:rsidR="00310B06" w:rsidRPr="00033975" w:rsidRDefault="00310B06" w:rsidP="00033975">
      <w:pPr>
        <w:tabs>
          <w:tab w:val="left" w:pos="3828"/>
        </w:tabs>
        <w:jc w:val="both"/>
        <w:rPr>
          <w:rFonts w:ascii="Merriweather" w:hAnsi="Merriweather"/>
          <w:i/>
          <w:iCs/>
        </w:rPr>
      </w:pPr>
    </w:p>
    <w:p w14:paraId="2BA9A901" w14:textId="783800E0" w:rsidR="00310B06" w:rsidRDefault="00310B06" w:rsidP="00033975">
      <w:pPr>
        <w:tabs>
          <w:tab w:val="left" w:pos="3828"/>
        </w:tabs>
        <w:ind w:left="6521" w:hanging="6521"/>
        <w:jc w:val="both"/>
        <w:rPr>
          <w:rFonts w:ascii="Merriweather" w:hAnsi="Merriweather"/>
        </w:rPr>
      </w:pPr>
      <w:r w:rsidRPr="00033975">
        <w:rPr>
          <w:rFonts w:ascii="Merriweather Black" w:hAnsi="Merriweather Black"/>
        </w:rPr>
        <w:t>Chèque</w:t>
      </w:r>
      <w:r w:rsidRPr="00033975">
        <w:rPr>
          <w:rFonts w:ascii="Merriweather" w:hAnsi="Merriweather"/>
          <w:i/>
          <w:iCs/>
          <w:sz w:val="22"/>
          <w:szCs w:val="20"/>
        </w:rPr>
        <w:tab/>
      </w:r>
      <w:r w:rsidRPr="00AA6709">
        <w:rPr>
          <w:rFonts w:ascii="Merriweather Black" w:hAnsi="Merriweather Black"/>
          <w:i/>
          <w:iCs/>
          <w:lang w:val="en-CA"/>
        </w:rPr>
        <w:t>Check</w:t>
      </w:r>
      <w:r w:rsidRPr="00033975">
        <w:rPr>
          <w:rFonts w:ascii="Merriweather" w:hAnsi="Merriweather"/>
          <w:i/>
          <w:iCs/>
        </w:rPr>
        <w:tab/>
      </w:r>
      <w:r w:rsidRPr="00033975">
        <w:rPr>
          <w:rFonts w:ascii="Merriweather" w:hAnsi="Merriweather"/>
        </w:rPr>
        <w:t>Le chèque est un moyen de paiement scriptural utilisant le circuit bancaire. Il est généralement utilisé pour faire transiter de la monnaie d'un compte bancaire à un autre. Tombé en désuétude dans la plupart des pays industrialisés, il reste encore souvent utilisé en France, au Royaume-Uni, aux États-Unis ainsi qu'au Canada.</w:t>
      </w:r>
    </w:p>
    <w:p w14:paraId="20522F1A" w14:textId="77777777" w:rsidR="00033975" w:rsidRPr="00E03120" w:rsidRDefault="00033975" w:rsidP="00033975">
      <w:pPr>
        <w:rPr>
          <w:rFonts w:ascii="Merriweather" w:hAnsi="Merriweather"/>
        </w:rPr>
      </w:pPr>
    </w:p>
    <w:p w14:paraId="0BE5B823" w14:textId="0F0DC685" w:rsidR="00033975" w:rsidRPr="00033975" w:rsidRDefault="00033975" w:rsidP="00033975">
      <w:pPr>
        <w:tabs>
          <w:tab w:val="left" w:pos="3828"/>
        </w:tabs>
        <w:ind w:left="6521" w:hanging="6521"/>
        <w:jc w:val="both"/>
        <w:rPr>
          <w:rFonts w:ascii="Merriweather" w:hAnsi="Merriweather"/>
        </w:rPr>
      </w:pPr>
      <w:r w:rsidRPr="00033975">
        <w:rPr>
          <w:rFonts w:ascii="Merriweather Black" w:hAnsi="Merriweather Black"/>
        </w:rPr>
        <w:t>Facture</w:t>
      </w:r>
      <w:r w:rsidRPr="00033975">
        <w:rPr>
          <w:rFonts w:ascii="Merriweather Black" w:hAnsi="Merriweather Black"/>
        </w:rPr>
        <w:tab/>
      </w:r>
      <w:r w:rsidRPr="00AA6709">
        <w:rPr>
          <w:rFonts w:ascii="Merriweather Black" w:hAnsi="Merriweather Black"/>
          <w:i/>
          <w:iCs/>
          <w:lang w:val="en-CA"/>
        </w:rPr>
        <w:t>Invoice</w:t>
      </w:r>
      <w:r w:rsidRPr="00033975">
        <w:rPr>
          <w:rFonts w:ascii="Merriweather" w:hAnsi="Merriweather"/>
        </w:rPr>
        <w:tab/>
        <w:t xml:space="preserve">Une facture est un document qui atteste de l'achat ou de la vente de biens ou </w:t>
      </w:r>
      <w:r w:rsidR="00F1208D">
        <w:rPr>
          <w:rFonts w:ascii="Merriweather" w:hAnsi="Merriweather"/>
        </w:rPr>
        <w:t xml:space="preserve">de </w:t>
      </w:r>
      <w:r w:rsidRPr="00033975">
        <w:rPr>
          <w:rFonts w:ascii="Merriweather" w:hAnsi="Merriweather"/>
        </w:rPr>
        <w:t>services. C'est une pièce comptable par laquelle un créancier (généralement un fournisseur) établit une créance vis-à-vis d'un débiteur (le plus souvent</w:t>
      </w:r>
      <w:r w:rsidR="00F1208D">
        <w:rPr>
          <w:rFonts w:ascii="Merriweather" w:hAnsi="Merriweather"/>
        </w:rPr>
        <w:t>,</w:t>
      </w:r>
      <w:r w:rsidRPr="00033975">
        <w:rPr>
          <w:rFonts w:ascii="Merriweather" w:hAnsi="Merriweather"/>
        </w:rPr>
        <w:t xml:space="preserve"> son client) en vue de déclencher le paiement d'une dette, soit le plus souvent </w:t>
      </w:r>
      <w:r w:rsidR="00F1208D">
        <w:rPr>
          <w:rFonts w:ascii="Merriweather" w:hAnsi="Merriweather"/>
        </w:rPr>
        <w:t xml:space="preserve">pour </w:t>
      </w:r>
      <w:r w:rsidRPr="00033975">
        <w:rPr>
          <w:rFonts w:ascii="Merriweather" w:hAnsi="Merriweather"/>
        </w:rPr>
        <w:t>se rétribuer de la fourniture d'un bien ou de la prestation d'un service à ce client.</w:t>
      </w:r>
    </w:p>
    <w:sectPr w:rsidR="00033975" w:rsidRPr="00033975" w:rsidSect="003F406E">
      <w:pgSz w:w="15840" w:h="12240" w:orient="landscape" w:code="1"/>
      <w:pgMar w:top="1134" w:right="1134" w:bottom="1134" w:left="113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Franklin Gothic Book">
    <w:panose1 w:val="020B0503020102020204"/>
    <w:charset w:val="00"/>
    <w:family w:val="swiss"/>
    <w:pitch w:val="variable"/>
    <w:sig w:usb0="00000287" w:usb1="00000000" w:usb2="00000000" w:usb3="00000000" w:csb0="0000009F" w:csb1="00000000"/>
    <w:embedRegular r:id="rId1" w:fontKey="{4278C253-9D2C-4E5B-B77C-301D19077C12}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2" w:fontKey="{07CF039B-2E50-40BC-AD0E-815ACBD5F293}"/>
    <w:embedBold r:id="rId3" w:fontKey="{95B08E77-D90F-45B7-843A-4F33622F90C1}"/>
    <w:embedItalic r:id="rId4" w:fontKey="{913FDA6A-93DC-410D-BDF7-4D3FE823B11A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  <w:embedRegular r:id="rId5" w:fontKey="{90665D3F-41CE-49C5-AACD-48BCAED164B9}"/>
  </w:font>
  <w:font w:name="Segoe Print">
    <w:panose1 w:val="02000600000000000000"/>
    <w:charset w:val="00"/>
    <w:family w:val="auto"/>
    <w:pitch w:val="variable"/>
    <w:sig w:usb0="0000028F" w:usb1="00000000" w:usb2="00000000" w:usb3="00000000" w:csb0="0000009F" w:csb1="00000000"/>
    <w:embedBold r:id="rId6" w:fontKey="{1B47B7E2-B4FF-4BF6-8750-430BC089A55B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BoldItalic r:id="rId7" w:fontKey="{5F34B541-87F8-4764-9C9E-FA589078D5EC}"/>
  </w:font>
  <w:font w:name="Merriweather">
    <w:panose1 w:val="00000500000000000000"/>
    <w:charset w:val="00"/>
    <w:family w:val="auto"/>
    <w:pitch w:val="variable"/>
    <w:sig w:usb0="20000207" w:usb1="00000002" w:usb2="00000000" w:usb3="00000000" w:csb0="00000197" w:csb1="00000000"/>
    <w:embedRegular r:id="rId8" w:fontKey="{F4DF8A4D-16DF-4EC6-AC70-6F58E6B3C5C6}"/>
    <w:embedItalic r:id="rId9" w:fontKey="{C197BDF6-70BB-43E1-BF61-55C04CEF8ABD}"/>
  </w:font>
  <w:font w:name="Merriweather Black">
    <w:panose1 w:val="00000A00000000000000"/>
    <w:charset w:val="00"/>
    <w:family w:val="auto"/>
    <w:pitch w:val="variable"/>
    <w:sig w:usb0="20000207" w:usb1="00000002" w:usb2="00000000" w:usb3="00000000" w:csb0="00000197" w:csb1="00000000"/>
    <w:embedRegular r:id="rId10" w:fontKey="{11444AAD-C7D7-4246-A9A4-B4C8767FC622}"/>
    <w:embedItalic r:id="rId11" w:fontKey="{2766C0DE-CA7E-41AE-9B0D-1A40A60712E9}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  <w:embedRegular r:id="rId12" w:fontKey="{BBAB7E7F-17A7-4418-8B33-9DB4BF2668DA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TrueTypeFonts/>
  <w:proofState w:spelling="clean" w:grammar="clean"/>
  <w:defaultTabStop w:val="708"/>
  <w:hyphenationZone w:val="425"/>
  <w:drawingGridHorizontalSpacing w:val="120"/>
  <w:displayHorizontalDrawingGridEvery w:val="2"/>
  <w:displayVerticalDrawingGridEvery w:val="2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95079"/>
    <w:rsid w:val="00033975"/>
    <w:rsid w:val="0007290F"/>
    <w:rsid w:val="00092009"/>
    <w:rsid w:val="00140AEA"/>
    <w:rsid w:val="0015653C"/>
    <w:rsid w:val="0016270D"/>
    <w:rsid w:val="00181AF7"/>
    <w:rsid w:val="00195689"/>
    <w:rsid w:val="0026446E"/>
    <w:rsid w:val="002F1DA2"/>
    <w:rsid w:val="00310B06"/>
    <w:rsid w:val="0037699F"/>
    <w:rsid w:val="003829EB"/>
    <w:rsid w:val="003E5B9F"/>
    <w:rsid w:val="003F406E"/>
    <w:rsid w:val="004079DC"/>
    <w:rsid w:val="00453B4A"/>
    <w:rsid w:val="004725E8"/>
    <w:rsid w:val="004F77E6"/>
    <w:rsid w:val="005617F2"/>
    <w:rsid w:val="005E3F52"/>
    <w:rsid w:val="00636029"/>
    <w:rsid w:val="00654BCF"/>
    <w:rsid w:val="007A2A60"/>
    <w:rsid w:val="007B0C7F"/>
    <w:rsid w:val="008F64AC"/>
    <w:rsid w:val="00A0107C"/>
    <w:rsid w:val="00AA6709"/>
    <w:rsid w:val="00B95079"/>
    <w:rsid w:val="00CD4E98"/>
    <w:rsid w:val="00E03120"/>
    <w:rsid w:val="00E17733"/>
    <w:rsid w:val="00E77B22"/>
    <w:rsid w:val="00EA161E"/>
    <w:rsid w:val="00EC311C"/>
    <w:rsid w:val="00ED0161"/>
    <w:rsid w:val="00F0164B"/>
    <w:rsid w:val="00F1208D"/>
    <w:rsid w:val="00F87F4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C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E0EFEF1"/>
  <w15:chartTrackingRefBased/>
  <w15:docId w15:val="{EEB6524D-D833-4480-89EE-598CB4E2D04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Franklin Gothic Book" w:eastAsiaTheme="minorHAnsi" w:hAnsi="Franklin Gothic Book" w:cstheme="minorBidi"/>
        <w:sz w:val="24"/>
        <w:szCs w:val="22"/>
        <w:lang w:val="fr-CA" w:eastAsia="en-US" w:bidi="ar-SA"/>
      </w:rPr>
    </w:rPrDefault>
    <w:pPrDefault>
      <w:pPr>
        <w:spacing w:after="120" w:line="264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636029"/>
    <w:pPr>
      <w:spacing w:after="0" w:line="240" w:lineRule="auto"/>
    </w:p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styleId="Lienhypertexte">
    <w:name w:val="Hyperlink"/>
    <w:basedOn w:val="Policepardfaut"/>
    <w:uiPriority w:val="99"/>
    <w:unhideWhenUsed/>
    <w:rsid w:val="00F0164B"/>
    <w:rPr>
      <w:color w:val="0000FF"/>
      <w:u w:val="single"/>
    </w:rPr>
  </w:style>
  <w:style w:type="character" w:customStyle="1" w:styleId="Mentionnonrsolue1">
    <w:name w:val="Mention non résolue1"/>
    <w:basedOn w:val="Policepardfaut"/>
    <w:uiPriority w:val="99"/>
    <w:semiHidden/>
    <w:unhideWhenUsed/>
    <w:rsid w:val="00A0107C"/>
    <w:rPr>
      <w:color w:val="605E5C"/>
      <w:shd w:val="clear" w:color="auto" w:fill="E1DFDD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F1208D"/>
    <w:rPr>
      <w:rFonts w:ascii="Segoe UI" w:hAnsi="Segoe UI" w:cs="Segoe UI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F1208D"/>
    <w:rPr>
      <w:rFonts w:ascii="Segoe UI" w:hAnsi="Segoe UI" w:cs="Segoe UI"/>
      <w:sz w:val="18"/>
      <w:szCs w:val="18"/>
    </w:rPr>
  </w:style>
  <w:style w:type="paragraph" w:styleId="Rvision">
    <w:name w:val="Revision"/>
    <w:hidden/>
    <w:uiPriority w:val="99"/>
    <w:semiHidden/>
    <w:rsid w:val="0015653C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12" Type="http://schemas.openxmlformats.org/officeDocument/2006/relationships/font" Target="fonts/font12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184</Words>
  <Characters>1015</Characters>
  <Application>Microsoft Office Word</Application>
  <DocSecurity>0</DocSecurity>
  <Lines>8</Lines>
  <Paragraphs>2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1197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Altitude Didac TIC</dc:creator>
  <cp:keywords/>
  <dc:description>WIKIPÉDIA, Facture (comptabilité), [En ligne], 18 février 2022. [https://fr.wikipedia.org/wiki/Facture_(comptabilit%C3%A9)] (Consulté le 25 février 2022). Ce texte est rendu disponible par Wikipédia sous les termes de la licence Creative Commons CC BY SA 3.0.
WIKIPÉDIA, Chèque, [En ligne], 13 janvier 2022. [https://fr.wikipedia.org/wiki/Ch%C3%A8que] (Consulté le 25 février 2022). Ce texte est rendu disponible par Wikipédia sous les termes de la licence Creative Commons CC BY SA 3.0.
WIKITIONNAIRE, Bon de commande, [En ligne], 29 août 2020. [https://fr.wiktionary.org/wiki/bon_de_commande] (Consulté le 25 février 2022). Ce texte est rendu disponible par Wikipédia sous les termes de la licence Creative Commons CC BY SA 3.0.
WIKITIONNAIRE, Bordereau de livraison, [En ligne], 30 août 2020. [https://fr.wiktionary.org/wiki/bordereau_de_livraison] (Consulté le 25 février 2022). Ce texte est rendu disponible par Wikipédia sous les termes de la licence Creative Commons CC BY SA 3.0.</dc:description>
  <cp:lastModifiedBy>Altitude Didac TIC</cp:lastModifiedBy>
  <cp:revision>2</cp:revision>
  <dcterms:created xsi:type="dcterms:W3CDTF">2022-06-29T12:36:00Z</dcterms:created>
  <dcterms:modified xsi:type="dcterms:W3CDTF">2022-06-29T12:36:00Z</dcterms:modified>
</cp:coreProperties>
</file>